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2BC53" w14:textId="05E9FC7B" w:rsidR="00DF0053" w:rsidRPr="00C46A4D" w:rsidRDefault="00DF0053" w:rsidP="00AF5AC5">
      <w:pPr>
        <w:pStyle w:val="Fund"/>
      </w:pPr>
      <w:r w:rsidRPr="00C46A4D">
        <w:t>FLORIDA WORKERS COMPENSATION INSURANCE GUARANTY ASSOCIATION</w:t>
      </w:r>
    </w:p>
    <w:p w14:paraId="610FA679" w14:textId="77777777" w:rsidR="00DF0053" w:rsidRPr="00C46A4D" w:rsidRDefault="00DF0053" w:rsidP="00AF5AC5">
      <w:pPr>
        <w:pStyle w:val="Fund"/>
      </w:pPr>
    </w:p>
    <w:p w14:paraId="3072667F" w14:textId="77777777" w:rsidR="00DF0053" w:rsidRPr="00981222" w:rsidRDefault="00DF0053" w:rsidP="004C0DC3">
      <w:pPr>
        <w:pStyle w:val="SectionHeading"/>
        <w:rPr>
          <w:lang w:val="fr-FR"/>
        </w:rPr>
      </w:pPr>
      <w:r w:rsidRPr="00981222">
        <w:rPr>
          <w:lang w:val="fr-FR"/>
        </w:rPr>
        <w:t>CITATION &amp; EFFECTIVE DATE</w:t>
      </w:r>
    </w:p>
    <w:p w14:paraId="2FD2D740" w14:textId="6460BC3F" w:rsidR="00DF0053" w:rsidRPr="00981222" w:rsidRDefault="00DF0053" w:rsidP="0019015C">
      <w:pPr>
        <w:pStyle w:val="Data"/>
      </w:pPr>
      <w:r w:rsidRPr="00981222">
        <w:t xml:space="preserve">Fla. Stat. Ann.  Laws 1997 Sec. 631.901 et </w:t>
      </w:r>
      <w:proofErr w:type="spellStart"/>
      <w:r w:rsidR="2781221C" w:rsidRPr="00981222">
        <w:t>seq</w:t>
      </w:r>
      <w:proofErr w:type="spellEnd"/>
      <w:r w:rsidR="2781221C" w:rsidRPr="00981222">
        <w:t>.,</w:t>
      </w:r>
      <w:r w:rsidRPr="00981222">
        <w:t xml:space="preserve"> ch. 97-262, 5-30-97</w:t>
      </w:r>
    </w:p>
    <w:p w14:paraId="4698862B" w14:textId="77777777" w:rsidR="00DF0053" w:rsidRPr="00981222" w:rsidRDefault="00DF0053" w:rsidP="00AF5AC5">
      <w:pPr>
        <w:pStyle w:val="Data"/>
        <w:rPr>
          <w:sz w:val="24"/>
          <w:szCs w:val="24"/>
        </w:rPr>
      </w:pPr>
    </w:p>
    <w:p w14:paraId="64600A3E" w14:textId="77777777" w:rsidR="00DF0053" w:rsidRPr="00C46A4D" w:rsidRDefault="00DF0053" w:rsidP="004C0DC3">
      <w:pPr>
        <w:pStyle w:val="SectionHeading"/>
      </w:pPr>
      <w:r w:rsidRPr="00C46A4D">
        <w:t>MODEL OR SIMILAR ACT</w:t>
      </w:r>
    </w:p>
    <w:p w14:paraId="5375D892" w14:textId="77777777" w:rsidR="00DF0053" w:rsidRPr="00C46A4D" w:rsidRDefault="00DF0053" w:rsidP="001D3E05">
      <w:pPr>
        <w:pStyle w:val="Data"/>
        <w:rPr>
          <w:lang w:val="en-US"/>
        </w:rPr>
      </w:pPr>
      <w:r w:rsidRPr="00C46A4D">
        <w:rPr>
          <w:lang w:val="en-US"/>
        </w:rPr>
        <w:t>Yes</w:t>
      </w:r>
    </w:p>
    <w:p w14:paraId="6B023007" w14:textId="77777777" w:rsidR="00DF0053" w:rsidRPr="00C46A4D" w:rsidRDefault="00DF0053" w:rsidP="001D3E05"/>
    <w:p w14:paraId="4DF97853" w14:textId="77777777" w:rsidR="00DF0053" w:rsidRPr="00C46A4D" w:rsidRDefault="00DF0053" w:rsidP="00A552B4">
      <w:pPr>
        <w:pStyle w:val="SectionHeading"/>
      </w:pPr>
      <w:r w:rsidRPr="00C46A4D">
        <w:t>COVERED CLAIMS</w:t>
      </w:r>
    </w:p>
    <w:p w14:paraId="7689E4B0" w14:textId="77777777" w:rsidR="00DF0053" w:rsidRPr="00C46A4D" w:rsidRDefault="00DF0053" w:rsidP="0039268E">
      <w:pPr>
        <w:pStyle w:val="DataUnderlined"/>
        <w:rPr>
          <w:lang w:val="en-US"/>
        </w:rPr>
      </w:pPr>
      <w:r w:rsidRPr="00C46A4D">
        <w:rPr>
          <w:lang w:val="en-US"/>
        </w:rPr>
        <w:t xml:space="preserve">COVERED LINES OF BUSINESS </w:t>
      </w:r>
    </w:p>
    <w:p w14:paraId="23171A4B" w14:textId="77777777" w:rsidR="00DF0053" w:rsidRPr="00C46A4D" w:rsidRDefault="00DF0053" w:rsidP="00AF5AC5">
      <w:pPr>
        <w:pStyle w:val="Data"/>
        <w:rPr>
          <w:lang w:val="en-US"/>
        </w:rPr>
      </w:pPr>
      <w:r w:rsidRPr="00C46A4D">
        <w:rPr>
          <w:lang w:val="en-US"/>
        </w:rPr>
        <w:t>Workers’ Compensation including claims under employer liability coverage of a workers' comp policy.</w:t>
      </w:r>
    </w:p>
    <w:p w14:paraId="48586784" w14:textId="77777777" w:rsidR="00DF0053" w:rsidRPr="00C46A4D" w:rsidRDefault="00DF0053" w:rsidP="00AF5AC5">
      <w:pPr>
        <w:pStyle w:val="Data"/>
        <w:rPr>
          <w:lang w:val="en-US"/>
        </w:rPr>
      </w:pPr>
    </w:p>
    <w:p w14:paraId="02881C9B" w14:textId="77777777" w:rsidR="00DF0053" w:rsidRPr="00C46A4D" w:rsidRDefault="00DF0053" w:rsidP="0039268E">
      <w:pPr>
        <w:pStyle w:val="DataUnderlined"/>
        <w:rPr>
          <w:lang w:val="en-US"/>
        </w:rPr>
      </w:pPr>
      <w:r w:rsidRPr="00C46A4D">
        <w:rPr>
          <w:lang w:val="en-US"/>
        </w:rPr>
        <w:t>UNEARNED PREMIUM</w:t>
      </w:r>
    </w:p>
    <w:p w14:paraId="3ABE1E21" w14:textId="77777777" w:rsidR="00DF0053" w:rsidRPr="00C46A4D" w:rsidRDefault="00DF0053" w:rsidP="00AF5AC5">
      <w:pPr>
        <w:pStyle w:val="Data"/>
        <w:rPr>
          <w:lang w:val="en-US"/>
        </w:rPr>
      </w:pPr>
      <w:r w:rsidRPr="00C46A4D">
        <w:rPr>
          <w:lang w:val="en-US"/>
        </w:rPr>
        <w:t>is covered with a limit of $50,000 per policy.  Return of premium under any retrospective rating plan is not covered.</w:t>
      </w:r>
    </w:p>
    <w:p w14:paraId="2A96BE32" w14:textId="77777777" w:rsidR="00DF0053" w:rsidRPr="00C46A4D" w:rsidRDefault="00DF0053" w:rsidP="00AF5AC5">
      <w:pPr>
        <w:pStyle w:val="Data"/>
        <w:rPr>
          <w:lang w:val="en-US"/>
        </w:rPr>
      </w:pPr>
    </w:p>
    <w:p w14:paraId="740B4559" w14:textId="77777777" w:rsidR="00DF0053" w:rsidRPr="00C46A4D" w:rsidRDefault="00DF0053" w:rsidP="0039268E">
      <w:pPr>
        <w:pStyle w:val="DataUnderlined"/>
        <w:rPr>
          <w:lang w:val="en-US"/>
        </w:rPr>
      </w:pPr>
      <w:r w:rsidRPr="00C46A4D">
        <w:rPr>
          <w:lang w:val="en-US"/>
        </w:rPr>
        <w:t>COVERED CLAIM</w:t>
      </w:r>
    </w:p>
    <w:p w14:paraId="6F706895" w14:textId="77777777" w:rsidR="00DF0053" w:rsidRPr="00C46A4D" w:rsidRDefault="00DF0053" w:rsidP="00AF5AC5">
      <w:pPr>
        <w:pStyle w:val="Data"/>
        <w:rPr>
          <w:lang w:val="en-US"/>
        </w:rPr>
      </w:pPr>
      <w:r w:rsidRPr="00C46A4D">
        <w:rPr>
          <w:lang w:val="en-US"/>
        </w:rPr>
        <w:t xml:space="preserve">“Covered claim” means an unpaid claim, including a claim for return of unearned premiums, which arises out of, is within the coverage of, and is not in excess of the applicable limits of, an insurance policy to which this part applies, which policy was issued by an insurer and which claim is made on behalf of a claimant or insured who was a resident of this state at the time of the injury.  </w:t>
      </w:r>
    </w:p>
    <w:p w14:paraId="466902B5" w14:textId="77777777" w:rsidR="00DF0053" w:rsidRPr="00C46A4D" w:rsidRDefault="00DF0053" w:rsidP="00AF5AC5">
      <w:pPr>
        <w:pStyle w:val="Data"/>
        <w:rPr>
          <w:lang w:val="en-US"/>
        </w:rPr>
      </w:pPr>
    </w:p>
    <w:p w14:paraId="4599A6DB" w14:textId="77777777" w:rsidR="00DF0053" w:rsidRPr="00C46A4D" w:rsidRDefault="00DF0053" w:rsidP="00AF5AC5">
      <w:pPr>
        <w:pStyle w:val="Data"/>
        <w:rPr>
          <w:lang w:val="en-US"/>
        </w:rPr>
      </w:pPr>
      <w:r w:rsidRPr="00C46A4D">
        <w:rPr>
          <w:lang w:val="en-US"/>
        </w:rPr>
        <w:t>The Florida Self-Insurance Fund Guaranty Association and the workers’ compensation insurance account within the Florida Insurance Guaranty Association cease to exist and are succeeded by the Florida Workers’ Compensation Insurance Guaranty Association.</w:t>
      </w:r>
    </w:p>
    <w:p w14:paraId="32A2F5E1" w14:textId="77777777" w:rsidR="00DF0053" w:rsidRPr="00C46A4D" w:rsidRDefault="00DF0053" w:rsidP="00AF5AC5">
      <w:pPr>
        <w:pStyle w:val="Data"/>
        <w:rPr>
          <w:lang w:val="en-US"/>
        </w:rPr>
      </w:pPr>
    </w:p>
    <w:p w14:paraId="30BF75CE" w14:textId="77777777" w:rsidR="00DF0053" w:rsidRPr="00C46A4D" w:rsidRDefault="00DF0053" w:rsidP="00AF5AC5">
      <w:pPr>
        <w:pStyle w:val="Data"/>
        <w:rPr>
          <w:lang w:val="en-US"/>
        </w:rPr>
      </w:pPr>
      <w:r w:rsidRPr="00C46A4D">
        <w:rPr>
          <w:lang w:val="en-US"/>
        </w:rPr>
        <w:t>The successor corporation shall be responsible and liable for all the liabilities and obligations of each party to the merger.</w:t>
      </w:r>
    </w:p>
    <w:p w14:paraId="3C173B19" w14:textId="77777777" w:rsidR="00DF0053" w:rsidRPr="00C46A4D" w:rsidRDefault="00DF0053" w:rsidP="00AF5AC5">
      <w:pPr>
        <w:pStyle w:val="Data"/>
        <w:rPr>
          <w:lang w:val="en-US"/>
        </w:rPr>
      </w:pPr>
    </w:p>
    <w:p w14:paraId="6243110F" w14:textId="75F7EE97" w:rsidR="00DF0053" w:rsidRPr="00C46A4D" w:rsidRDefault="00DF0053" w:rsidP="00A552B4">
      <w:pPr>
        <w:pStyle w:val="SectionHeading"/>
      </w:pPr>
      <w:r w:rsidRPr="00C46A4D">
        <w:t>ASSESSMENTS</w:t>
      </w:r>
      <w:r w:rsidR="005B7C05">
        <w:t>*</w:t>
      </w:r>
    </w:p>
    <w:p w14:paraId="41F26AA1" w14:textId="77777777" w:rsidR="00DF0053" w:rsidRPr="00C46A4D" w:rsidRDefault="00DF0053" w:rsidP="0039268E">
      <w:pPr>
        <w:pStyle w:val="DataUnderlined"/>
        <w:rPr>
          <w:lang w:val="en-US"/>
        </w:rPr>
      </w:pPr>
      <w:r w:rsidRPr="00C46A4D">
        <w:rPr>
          <w:lang w:val="en-US"/>
        </w:rPr>
        <w:t>SEPARATE ACCOUNTS</w:t>
      </w:r>
    </w:p>
    <w:p w14:paraId="0BF177D6" w14:textId="4B23D668" w:rsidR="00DF0053" w:rsidRPr="00C46A4D" w:rsidRDefault="00DF0053" w:rsidP="00AF5AC5">
      <w:pPr>
        <w:pStyle w:val="Data"/>
        <w:rPr>
          <w:lang w:val="en-US"/>
        </w:rPr>
      </w:pPr>
      <w:r w:rsidRPr="109B9014">
        <w:rPr>
          <w:lang w:val="en-US"/>
        </w:rPr>
        <w:t>None</w:t>
      </w:r>
      <w:r w:rsidR="79572447" w:rsidRPr="109B9014">
        <w:rPr>
          <w:lang w:val="en-US"/>
        </w:rPr>
        <w:t>;</w:t>
      </w:r>
      <w:r w:rsidRPr="109B9014">
        <w:rPr>
          <w:lang w:val="en-US"/>
        </w:rPr>
        <w:t xml:space="preserve"> WC business only covered</w:t>
      </w:r>
    </w:p>
    <w:p w14:paraId="498EFBF2" w14:textId="77777777" w:rsidR="00DF0053" w:rsidRPr="00C46A4D" w:rsidRDefault="00DF0053" w:rsidP="00AF5AC5">
      <w:pPr>
        <w:pStyle w:val="Data"/>
        <w:rPr>
          <w:lang w:val="en-US"/>
        </w:rPr>
      </w:pPr>
    </w:p>
    <w:p w14:paraId="0D645D64" w14:textId="77777777" w:rsidR="00DF0053" w:rsidRPr="00C46A4D" w:rsidRDefault="00DF0053" w:rsidP="0039268E">
      <w:pPr>
        <w:pStyle w:val="DataUnderlined"/>
        <w:rPr>
          <w:lang w:val="en-US"/>
        </w:rPr>
      </w:pPr>
      <w:r w:rsidRPr="00C46A4D">
        <w:rPr>
          <w:lang w:val="en-US"/>
        </w:rPr>
        <w:br w:type="page"/>
      </w:r>
      <w:r w:rsidRPr="00C46A4D">
        <w:rPr>
          <w:lang w:val="en-US"/>
        </w:rPr>
        <w:lastRenderedPageBreak/>
        <w:t>MAXIMUM ANNUAL %</w:t>
      </w:r>
    </w:p>
    <w:p w14:paraId="5E5F7D13" w14:textId="77777777" w:rsidR="00DF0053" w:rsidRPr="00C46A4D" w:rsidRDefault="00DF0053" w:rsidP="00AF5AC5">
      <w:pPr>
        <w:pStyle w:val="Data"/>
        <w:rPr>
          <w:lang w:val="en-US"/>
        </w:rPr>
      </w:pPr>
      <w:r w:rsidRPr="00C46A4D">
        <w:rPr>
          <w:lang w:val="en-US"/>
        </w:rPr>
        <w:t>2% per annum.</w:t>
      </w:r>
    </w:p>
    <w:p w14:paraId="104E2124" w14:textId="77777777" w:rsidR="00DF0053" w:rsidRPr="00C46A4D" w:rsidRDefault="00DF0053" w:rsidP="00AF5AC5">
      <w:pPr>
        <w:pStyle w:val="Data"/>
        <w:rPr>
          <w:lang w:val="en-US"/>
        </w:rPr>
      </w:pPr>
    </w:p>
    <w:p w14:paraId="205A1063" w14:textId="3132B85B" w:rsidR="00DF0053" w:rsidRPr="00C46A4D" w:rsidRDefault="00CF44C2" w:rsidP="00AF5AC5">
      <w:pPr>
        <w:pStyle w:val="Data"/>
        <w:rPr>
          <w:lang w:val="en-US"/>
        </w:rPr>
      </w:pPr>
      <w:r w:rsidRPr="00C46A4D">
        <w:rPr>
          <w:lang w:val="en-US"/>
        </w:rPr>
        <w:t>Additional</w:t>
      </w:r>
      <w:r w:rsidR="00DF0053" w:rsidRPr="00C46A4D">
        <w:rPr>
          <w:lang w:val="en-US"/>
        </w:rPr>
        <w:t xml:space="preserve"> 1.5% authorized on insurers’ direct written premium if above amounts not sufficient.</w:t>
      </w:r>
    </w:p>
    <w:p w14:paraId="3A33632F" w14:textId="77777777" w:rsidR="00DF0053" w:rsidRPr="00C46A4D" w:rsidRDefault="00DF0053" w:rsidP="00AF5AC5">
      <w:pPr>
        <w:pStyle w:val="Data"/>
        <w:rPr>
          <w:lang w:val="en-US"/>
        </w:rPr>
      </w:pPr>
    </w:p>
    <w:p w14:paraId="6070C4E9" w14:textId="77777777" w:rsidR="00DF0053" w:rsidRPr="00C46A4D" w:rsidRDefault="00DF0053" w:rsidP="0039268E">
      <w:pPr>
        <w:pStyle w:val="DataUnderlined"/>
        <w:rPr>
          <w:lang w:val="en-US"/>
        </w:rPr>
      </w:pPr>
      <w:r w:rsidRPr="00C46A4D">
        <w:rPr>
          <w:lang w:val="en-US"/>
        </w:rPr>
        <w:t>RECOUPMENT PROVISION</w:t>
      </w:r>
    </w:p>
    <w:p w14:paraId="613EF962" w14:textId="77777777" w:rsidR="00DF0053" w:rsidRPr="00C46A4D" w:rsidRDefault="00081DE1" w:rsidP="004C0DC3">
      <w:pPr>
        <w:pStyle w:val="Data"/>
        <w:rPr>
          <w:lang w:val="en-US"/>
        </w:rPr>
      </w:pPr>
      <w:r>
        <w:rPr>
          <w:lang w:val="en-US"/>
        </w:rPr>
        <w:t xml:space="preserve">Surcharges </w:t>
      </w:r>
      <w:r w:rsidR="00AE72FA">
        <w:rPr>
          <w:lang w:val="en-US"/>
        </w:rPr>
        <w:t>on new and renewal policies</w:t>
      </w:r>
      <w:r w:rsidR="00EE656F">
        <w:rPr>
          <w:lang w:val="en-US"/>
        </w:rPr>
        <w:t>.</w:t>
      </w:r>
      <w:r w:rsidR="002F228B">
        <w:rPr>
          <w:lang w:val="en-US"/>
        </w:rPr>
        <w:t xml:space="preserve"> </w:t>
      </w:r>
    </w:p>
    <w:p w14:paraId="47F1FD2B" w14:textId="77777777" w:rsidR="00DF0053" w:rsidRPr="00C46A4D" w:rsidRDefault="00DF0053" w:rsidP="0039268E">
      <w:pPr>
        <w:pStyle w:val="DataUnderlined"/>
        <w:rPr>
          <w:lang w:val="en-US"/>
        </w:rPr>
      </w:pPr>
    </w:p>
    <w:p w14:paraId="01332918" w14:textId="10ACCC76" w:rsidR="000A73E8" w:rsidRDefault="00DF0053" w:rsidP="000A73E8">
      <w:pPr>
        <w:pStyle w:val="DataUnderlined"/>
        <w:rPr>
          <w:lang w:val="en-US"/>
        </w:rPr>
      </w:pPr>
      <w:r w:rsidRPr="00C46A4D">
        <w:rPr>
          <w:lang w:val="en-US"/>
        </w:rPr>
        <w:t>BASE YEAR</w:t>
      </w:r>
    </w:p>
    <w:p w14:paraId="65BD23F3" w14:textId="612DD691" w:rsidR="000A73E8" w:rsidRPr="000A73E8" w:rsidRDefault="00694E07" w:rsidP="000A73E8">
      <w:pPr>
        <w:pStyle w:val="Data"/>
        <w:rPr>
          <w:lang w:val="en-US"/>
        </w:rPr>
      </w:pPr>
      <w:r w:rsidRPr="000A73E8">
        <w:rPr>
          <w:lang w:val="en-US"/>
        </w:rPr>
        <w:t>If the association elects to use the</w:t>
      </w:r>
      <w:r w:rsidR="00C23279">
        <w:rPr>
          <w:lang w:val="en-US"/>
        </w:rPr>
        <w:t xml:space="preserve"> pass-through</w:t>
      </w:r>
      <w:r w:rsidRPr="000A73E8">
        <w:rPr>
          <w:lang w:val="en-US"/>
        </w:rPr>
        <w:t xml:space="preserve"> method, the office may, in the order levying the assessment on insurers, specify that the policy surcharge is due and payable quarterly as collected throughout the assessment year.</w:t>
      </w:r>
    </w:p>
    <w:p w14:paraId="17A731F6" w14:textId="77777777" w:rsidR="000A73E8" w:rsidRPr="000A73E8" w:rsidRDefault="00694E07" w:rsidP="000A73E8">
      <w:pPr>
        <w:pStyle w:val="Data"/>
        <w:rPr>
          <w:lang w:val="en-US"/>
        </w:rPr>
      </w:pPr>
      <w:r w:rsidRPr="000A73E8">
        <w:rPr>
          <w:lang w:val="en-US"/>
        </w:rPr>
        <w:t xml:space="preserve"> If the association elects to require insurers to remit the assessment before surcharging the policy, the following shall apply:</w:t>
      </w:r>
    </w:p>
    <w:p w14:paraId="2074A536" w14:textId="01A2C8F4" w:rsidR="000A73E8" w:rsidRPr="005B7C05" w:rsidRDefault="000A73E8" w:rsidP="000A73E8">
      <w:pPr>
        <w:pStyle w:val="Data"/>
        <w:rPr>
          <w:b/>
          <w:bCs/>
          <w:lang w:val="en-US"/>
        </w:rPr>
      </w:pPr>
      <w:r w:rsidRPr="000A73E8">
        <w:rPr>
          <w:lang w:val="en-US"/>
        </w:rPr>
        <w:tab/>
      </w:r>
      <w:r w:rsidR="00694E07" w:rsidRPr="000A73E8">
        <w:rPr>
          <w:lang w:val="en-US"/>
        </w:rPr>
        <w:t xml:space="preserve">On or before the date specified in the order of the office, insurers shall make an initial </w:t>
      </w:r>
      <w:r w:rsidR="00C23279">
        <w:rPr>
          <w:lang w:val="en-US"/>
        </w:rPr>
        <w:t xml:space="preserve">advance </w:t>
      </w:r>
      <w:r w:rsidR="00694E07" w:rsidRPr="000A73E8">
        <w:rPr>
          <w:lang w:val="en-US"/>
        </w:rPr>
        <w:t>payment to the association of the percentage specified in the order multiplied by the insurer’s direct written premiums received in this state for the preceding calendar year for the kinds of insurance included within such account before the beginning of the assessment year.</w:t>
      </w:r>
      <w:r w:rsidR="00C23279" w:rsidRPr="005B7C05">
        <w:rPr>
          <w:spacing w:val="-3"/>
          <w:szCs w:val="24"/>
          <w:lang w:val="en-US"/>
        </w:rPr>
        <w:t xml:space="preserve"> The board may authorize an insurer to pay an assessment in a single payment or on a quarterly basis, based on cash-flow needs.</w:t>
      </w:r>
    </w:p>
    <w:p w14:paraId="609EDA86" w14:textId="35DF0433" w:rsidR="00694E07" w:rsidRDefault="00694E07" w:rsidP="000A73E8">
      <w:pPr>
        <w:pStyle w:val="Data"/>
        <w:rPr>
          <w:lang w:val="en-US"/>
        </w:rPr>
      </w:pPr>
      <w:r w:rsidRPr="000A73E8">
        <w:rPr>
          <w:lang w:val="en-US"/>
        </w:rPr>
        <w:t xml:space="preserve">Insurers must submit a reconciliation report to the association within 120 days after the end of the 12-month assessment </w:t>
      </w:r>
      <w:r w:rsidR="00981222">
        <w:rPr>
          <w:lang w:val="en-US"/>
        </w:rPr>
        <w:t>year</w:t>
      </w:r>
      <w:r w:rsidR="00981222" w:rsidRPr="000A73E8">
        <w:rPr>
          <w:lang w:val="en-US"/>
        </w:rPr>
        <w:t xml:space="preserve"> </w:t>
      </w:r>
      <w:r w:rsidRPr="000A73E8">
        <w:rPr>
          <w:lang w:val="en-US"/>
        </w:rPr>
        <w:t xml:space="preserve">and annually thereafter for a period of </w:t>
      </w:r>
      <w:r w:rsidR="00981222">
        <w:rPr>
          <w:lang w:val="en-US"/>
        </w:rPr>
        <w:t>2</w:t>
      </w:r>
      <w:r w:rsidRPr="000A73E8">
        <w:rPr>
          <w:lang w:val="en-US"/>
        </w:rPr>
        <w:t xml:space="preserve"> years. The report must indicate the amount of the initial payment or </w:t>
      </w:r>
      <w:r w:rsidR="00231227">
        <w:rPr>
          <w:lang w:val="en-US"/>
        </w:rPr>
        <w:t xml:space="preserve">installment </w:t>
      </w:r>
      <w:r w:rsidRPr="000A73E8">
        <w:rPr>
          <w:lang w:val="en-US"/>
        </w:rPr>
        <w:t>payments made to the association and the amount of policy surcharges collected for the assessment year. If the insurer’s reconciled obligation is more than the amount paid to the association, the insurer shall pay the excess policy surcharges collected to the association. If the insurer’s reconciled obligation is less than the initial amount paid to the association, the association shall return the overpayment to the insurer.</w:t>
      </w:r>
    </w:p>
    <w:p w14:paraId="7A77CC86" w14:textId="60EE31DB" w:rsidR="005B7C05" w:rsidRDefault="005B7C05" w:rsidP="005B7C05"/>
    <w:p w14:paraId="2CFB7E18" w14:textId="5E2AD2A6" w:rsidR="005B7C05" w:rsidRPr="005B7C05" w:rsidRDefault="005B7C05" w:rsidP="005B7C05">
      <w:r>
        <w:tab/>
      </w:r>
      <w:r w:rsidRPr="006303E3">
        <w:rPr>
          <w:rFonts w:ascii="Times New Roman" w:hAnsi="Times New Roman"/>
          <w:i/>
          <w:spacing w:val="-1"/>
          <w:sz w:val="22"/>
        </w:rPr>
        <w:t>*</w:t>
      </w:r>
      <w:proofErr w:type="gramStart"/>
      <w:r w:rsidRPr="006303E3">
        <w:rPr>
          <w:rFonts w:ascii="Times New Roman" w:hAnsi="Times New Roman"/>
          <w:i/>
          <w:spacing w:val="-1"/>
          <w:sz w:val="22"/>
        </w:rPr>
        <w:t>see</w:t>
      </w:r>
      <w:proofErr w:type="gramEnd"/>
      <w:r w:rsidRPr="006303E3">
        <w:rPr>
          <w:rFonts w:ascii="Times New Roman" w:hAnsi="Times New Roman"/>
          <w:i/>
          <w:spacing w:val="-1"/>
          <w:sz w:val="22"/>
        </w:rPr>
        <w:t xml:space="preserve"> statute for specific assessment procedures</w:t>
      </w:r>
      <w:r>
        <w:rPr>
          <w:rFonts w:ascii="Times New Roman" w:hAnsi="Times New Roman"/>
          <w:i/>
          <w:spacing w:val="-1"/>
          <w:sz w:val="22"/>
        </w:rPr>
        <w:t>.</w:t>
      </w:r>
    </w:p>
    <w:p w14:paraId="17C1285D" w14:textId="77777777" w:rsidR="00DF0053" w:rsidRPr="00C46A4D" w:rsidRDefault="00DF0053" w:rsidP="004C0DC3"/>
    <w:p w14:paraId="683632AD" w14:textId="77777777" w:rsidR="00DF0053" w:rsidRPr="00C46A4D" w:rsidRDefault="00DF0053" w:rsidP="004C0DC3">
      <w:pPr>
        <w:pStyle w:val="SectionHeading"/>
      </w:pPr>
      <w:r w:rsidRPr="00C46A4D">
        <w:t>LIMITS ON CLAIMS</w:t>
      </w:r>
    </w:p>
    <w:p w14:paraId="02430E36" w14:textId="77777777" w:rsidR="00DF0053" w:rsidRPr="00C46A4D" w:rsidRDefault="00DF0053" w:rsidP="0039268E">
      <w:pPr>
        <w:pStyle w:val="DataUnderlined"/>
        <w:rPr>
          <w:lang w:val="en-US"/>
        </w:rPr>
      </w:pPr>
      <w:r w:rsidRPr="00C46A4D">
        <w:rPr>
          <w:lang w:val="en-US"/>
        </w:rPr>
        <w:t>DEDUCTIBLE OR MINIMUM PER CLAIM</w:t>
      </w:r>
    </w:p>
    <w:p w14:paraId="6184EEA7" w14:textId="77777777" w:rsidR="00DF0053" w:rsidRPr="00C46A4D" w:rsidRDefault="00DF0053" w:rsidP="00AF5AC5">
      <w:pPr>
        <w:pStyle w:val="Data"/>
        <w:rPr>
          <w:lang w:val="en-US"/>
        </w:rPr>
      </w:pPr>
      <w:r w:rsidRPr="00C46A4D">
        <w:rPr>
          <w:lang w:val="en-US"/>
        </w:rPr>
        <w:t>None</w:t>
      </w:r>
    </w:p>
    <w:p w14:paraId="43C46FFC" w14:textId="77777777" w:rsidR="00DF0053" w:rsidRPr="00C46A4D" w:rsidRDefault="00DF0053" w:rsidP="00AF5AC5">
      <w:pPr>
        <w:pStyle w:val="Data"/>
        <w:rPr>
          <w:lang w:val="en-US"/>
        </w:rPr>
      </w:pPr>
    </w:p>
    <w:p w14:paraId="6208F5EE" w14:textId="77777777" w:rsidR="00DF0053" w:rsidRPr="00C46A4D" w:rsidRDefault="00DF0053" w:rsidP="0039268E">
      <w:pPr>
        <w:pStyle w:val="DataUnderlined"/>
        <w:rPr>
          <w:lang w:val="en-US"/>
        </w:rPr>
      </w:pPr>
      <w:r w:rsidRPr="00C46A4D">
        <w:rPr>
          <w:lang w:val="en-US"/>
        </w:rPr>
        <w:t>MAXIMUM PER CLAIM</w:t>
      </w:r>
    </w:p>
    <w:p w14:paraId="0CCF8E12" w14:textId="77777777" w:rsidR="00DF0053" w:rsidRPr="00C46A4D" w:rsidRDefault="00DF0053" w:rsidP="00AF5AC5">
      <w:pPr>
        <w:pStyle w:val="Data"/>
        <w:rPr>
          <w:lang w:val="en-US"/>
        </w:rPr>
      </w:pPr>
      <w:r w:rsidRPr="00C46A4D">
        <w:rPr>
          <w:lang w:val="en-US"/>
        </w:rPr>
        <w:t>None for workers’ compensation claims</w:t>
      </w:r>
    </w:p>
    <w:p w14:paraId="1189FD84" w14:textId="77777777" w:rsidR="00DF0053" w:rsidRPr="00C46A4D" w:rsidRDefault="00DF0053" w:rsidP="00AF5AC5">
      <w:pPr>
        <w:pStyle w:val="Data"/>
        <w:rPr>
          <w:lang w:val="en-US"/>
        </w:rPr>
      </w:pPr>
    </w:p>
    <w:p w14:paraId="75CF7489" w14:textId="77777777" w:rsidR="00DF0053" w:rsidRPr="00C46A4D" w:rsidRDefault="00DF0053" w:rsidP="00AF5AC5">
      <w:pPr>
        <w:pStyle w:val="Data"/>
        <w:rPr>
          <w:szCs w:val="12"/>
          <w:lang w:val="en-US"/>
        </w:rPr>
      </w:pPr>
      <w:r w:rsidRPr="00C46A4D">
        <w:rPr>
          <w:szCs w:val="12"/>
          <w:lang w:val="en-US"/>
        </w:rPr>
        <w:t>$50,000 Unearned Premium</w:t>
      </w:r>
    </w:p>
    <w:p w14:paraId="32B6A5D4" w14:textId="77777777" w:rsidR="00DF0053" w:rsidRPr="00C46A4D" w:rsidRDefault="00DF0053" w:rsidP="00AF5AC5">
      <w:pPr>
        <w:pStyle w:val="Data"/>
        <w:rPr>
          <w:lang w:val="en-US"/>
        </w:rPr>
      </w:pPr>
    </w:p>
    <w:p w14:paraId="24048BD0" w14:textId="77777777" w:rsidR="00DF0053" w:rsidRPr="00C46A4D" w:rsidRDefault="00DF0053" w:rsidP="00AF5AC5">
      <w:pPr>
        <w:pStyle w:val="Data"/>
        <w:rPr>
          <w:szCs w:val="12"/>
          <w:lang w:val="en-US"/>
        </w:rPr>
      </w:pPr>
      <w:r w:rsidRPr="00C46A4D">
        <w:rPr>
          <w:szCs w:val="12"/>
          <w:lang w:val="en-US"/>
        </w:rPr>
        <w:t>$300,000 or policy limits for employer liability.</w:t>
      </w:r>
    </w:p>
    <w:p w14:paraId="5D745D36" w14:textId="77777777" w:rsidR="00DF0053" w:rsidRPr="00C46A4D" w:rsidRDefault="00DF0053" w:rsidP="00AF5AC5">
      <w:pPr>
        <w:pStyle w:val="Data"/>
        <w:rPr>
          <w:lang w:val="en-US"/>
        </w:rPr>
      </w:pPr>
    </w:p>
    <w:p w14:paraId="5428D8BA" w14:textId="77777777" w:rsidR="00DF0053" w:rsidRPr="00C46A4D" w:rsidRDefault="00DF0053" w:rsidP="0039268E">
      <w:pPr>
        <w:pStyle w:val="DataUnderlined"/>
        <w:rPr>
          <w:lang w:val="en-US"/>
        </w:rPr>
      </w:pPr>
      <w:r w:rsidRPr="00C46A4D">
        <w:rPr>
          <w:lang w:val="en-US"/>
        </w:rPr>
        <w:t>NET WORTH PROVISION</w:t>
      </w:r>
    </w:p>
    <w:p w14:paraId="3E0F37EE" w14:textId="77777777" w:rsidR="00DF0053" w:rsidRPr="00C46A4D" w:rsidRDefault="00DF0053" w:rsidP="00AF5AC5">
      <w:pPr>
        <w:pStyle w:val="Data"/>
        <w:rPr>
          <w:lang w:val="en-US"/>
        </w:rPr>
      </w:pPr>
      <w:r w:rsidRPr="00C46A4D">
        <w:rPr>
          <w:lang w:val="en-US"/>
        </w:rPr>
        <w:lastRenderedPageBreak/>
        <w:t>None</w:t>
      </w:r>
    </w:p>
    <w:p w14:paraId="68E16F90" w14:textId="77777777" w:rsidR="00DF0053" w:rsidRPr="00C46A4D" w:rsidRDefault="00DF0053" w:rsidP="00AF5AC5">
      <w:pPr>
        <w:pStyle w:val="Data"/>
        <w:rPr>
          <w:lang w:val="en-US"/>
        </w:rPr>
      </w:pPr>
    </w:p>
    <w:p w14:paraId="2B81D9CE" w14:textId="77777777" w:rsidR="00DF0053" w:rsidRPr="00C46A4D" w:rsidRDefault="00DF0053" w:rsidP="00AF5AC5">
      <w:pPr>
        <w:pStyle w:val="Data"/>
        <w:rPr>
          <w:lang w:val="en-US"/>
        </w:rPr>
      </w:pPr>
      <w:r w:rsidRPr="00C46A4D">
        <w:rPr>
          <w:lang w:val="en-US"/>
        </w:rPr>
        <w:t>However, covered claim does not include any claim that would otherwise be a covered claim under this part that has been rejected by any other state guaranty fund on the grounds that an insured’s net worth is greater than that allowed under that state’s guaranty fund law.</w:t>
      </w:r>
    </w:p>
    <w:p w14:paraId="2F8D7C4B" w14:textId="77777777" w:rsidR="00DF0053" w:rsidRPr="00C46A4D" w:rsidRDefault="00DF0053" w:rsidP="00AF5AC5">
      <w:pPr>
        <w:pStyle w:val="Data"/>
        <w:rPr>
          <w:lang w:val="en-US"/>
        </w:rPr>
      </w:pPr>
    </w:p>
    <w:p w14:paraId="61E61585" w14:textId="77777777" w:rsidR="00DF0053" w:rsidRPr="00C46A4D" w:rsidRDefault="00DF0053" w:rsidP="0039268E">
      <w:pPr>
        <w:pStyle w:val="DataUnderlined"/>
        <w:rPr>
          <w:lang w:val="en-US"/>
        </w:rPr>
      </w:pPr>
      <w:r w:rsidRPr="00C46A4D">
        <w:rPr>
          <w:lang w:val="en-US"/>
        </w:rPr>
        <w:t>OTHER</w:t>
      </w:r>
    </w:p>
    <w:p w14:paraId="52D48C12" w14:textId="77777777" w:rsidR="00DF0053" w:rsidRPr="00C46A4D" w:rsidRDefault="00DF0053" w:rsidP="0039268E">
      <w:pPr>
        <w:pStyle w:val="DataUnderlined"/>
        <w:rPr>
          <w:lang w:val="en-US"/>
        </w:rPr>
      </w:pPr>
      <w:r w:rsidRPr="00C46A4D">
        <w:rPr>
          <w:lang w:val="en-US"/>
        </w:rPr>
        <w:t>NONCOVERED CLAIMS</w:t>
      </w:r>
    </w:p>
    <w:p w14:paraId="3F0E78F0" w14:textId="63EC8EBE" w:rsidR="00DF0053" w:rsidRPr="00C46A4D" w:rsidRDefault="00DF0053" w:rsidP="00AF5AC5">
      <w:pPr>
        <w:pStyle w:val="Data"/>
        <w:rPr>
          <w:lang w:val="en-US"/>
        </w:rPr>
      </w:pPr>
      <w:r w:rsidRPr="00C46A4D">
        <w:rPr>
          <w:lang w:val="en-US"/>
        </w:rPr>
        <w:t xml:space="preserve">Any amount </w:t>
      </w:r>
      <w:proofErr w:type="gramStart"/>
      <w:r w:rsidRPr="00C46A4D">
        <w:rPr>
          <w:lang w:val="en-US"/>
        </w:rPr>
        <w:t>due</w:t>
      </w:r>
      <w:proofErr w:type="gramEnd"/>
      <w:r w:rsidRPr="00C46A4D">
        <w:rPr>
          <w:lang w:val="en-US"/>
        </w:rPr>
        <w:t xml:space="preserve"> any reinsurer, insurer, insurance pool, or underwriting association, as subrogation recoveries or otherwise</w:t>
      </w:r>
      <w:r w:rsidR="0095648D">
        <w:rPr>
          <w:lang w:val="en-US"/>
        </w:rPr>
        <w:t xml:space="preserve">. </w:t>
      </w:r>
      <w:r w:rsidRPr="00C46A4D">
        <w:rPr>
          <w:lang w:val="en-US"/>
        </w:rPr>
        <w:t>Member insurers have no right of subrogation against the insured of any insolvent insurer.</w:t>
      </w:r>
    </w:p>
    <w:p w14:paraId="29426655" w14:textId="77777777" w:rsidR="00DF0053" w:rsidRPr="00C46A4D" w:rsidRDefault="00DF0053" w:rsidP="00AF5AC5">
      <w:pPr>
        <w:pStyle w:val="Data"/>
        <w:rPr>
          <w:lang w:val="en-US"/>
        </w:rPr>
      </w:pPr>
    </w:p>
    <w:p w14:paraId="735C87DE" w14:textId="77777777" w:rsidR="00DF0053" w:rsidRPr="00C46A4D" w:rsidRDefault="00DF0053" w:rsidP="00AF5AC5">
      <w:pPr>
        <w:pStyle w:val="Data"/>
        <w:rPr>
          <w:lang w:val="en-US"/>
        </w:rPr>
      </w:pPr>
      <w:r w:rsidRPr="00C46A4D">
        <w:rPr>
          <w:lang w:val="en-US"/>
        </w:rPr>
        <w:t>Association is not liable for penalties or interest.</w:t>
      </w:r>
    </w:p>
    <w:p w14:paraId="3FD54A4E" w14:textId="77777777" w:rsidR="00DF0053" w:rsidRPr="00C46A4D" w:rsidRDefault="00DF0053" w:rsidP="00AF5AC5">
      <w:pPr>
        <w:pStyle w:val="Data"/>
        <w:rPr>
          <w:lang w:val="en-US"/>
        </w:rPr>
      </w:pPr>
    </w:p>
    <w:p w14:paraId="74907982" w14:textId="77777777" w:rsidR="00DF0053" w:rsidRPr="00C46A4D" w:rsidRDefault="00DF0053" w:rsidP="004C0DC3">
      <w:pPr>
        <w:pStyle w:val="SectionHeading"/>
      </w:pPr>
      <w:r w:rsidRPr="00C46A4D">
        <w:t>TERMINATION PROVISION</w:t>
      </w:r>
    </w:p>
    <w:p w14:paraId="659274FF" w14:textId="77777777" w:rsidR="00DF0053" w:rsidRPr="00C46A4D" w:rsidRDefault="00DF0053" w:rsidP="004C0DC3">
      <w:pPr>
        <w:pStyle w:val="Data"/>
        <w:rPr>
          <w:lang w:val="en-US"/>
        </w:rPr>
      </w:pPr>
      <w:r w:rsidRPr="00C46A4D">
        <w:rPr>
          <w:lang w:val="en-US"/>
        </w:rPr>
        <w:t>None</w:t>
      </w:r>
    </w:p>
    <w:p w14:paraId="3E9F55BF" w14:textId="77777777" w:rsidR="00DF0053" w:rsidRPr="00C46A4D" w:rsidRDefault="00DF0053" w:rsidP="004C0DC3"/>
    <w:p w14:paraId="01A94493" w14:textId="77777777" w:rsidR="00DF0053" w:rsidRPr="00C46A4D" w:rsidRDefault="00DF0053" w:rsidP="004C0DC3">
      <w:pPr>
        <w:pStyle w:val="SectionHeading"/>
      </w:pPr>
      <w:r w:rsidRPr="00C46A4D">
        <w:t>MISCELLANEOUS</w:t>
      </w:r>
    </w:p>
    <w:p w14:paraId="55B87A1E" w14:textId="77777777" w:rsidR="00DF0053" w:rsidRPr="00C46A4D" w:rsidRDefault="00DF0053" w:rsidP="000B70DF">
      <w:pPr>
        <w:pStyle w:val="Data"/>
        <w:rPr>
          <w:lang w:val="en-US"/>
        </w:rPr>
      </w:pPr>
      <w:r w:rsidRPr="00C46A4D">
        <w:rPr>
          <w:lang w:val="en-US"/>
        </w:rPr>
        <w:t>“Insolvent Insurer” means an insurer that was authorized to transact insurance in this state, either at the time the policy was issued or when the insured event occurred, and against which an order of liquidation with a finding of insolvency has been entered by a court of competent jurisdiction if such order has become final by the exhaustion of appellate review.</w:t>
      </w:r>
    </w:p>
    <w:p w14:paraId="2131AC04" w14:textId="77777777" w:rsidR="00DF0053" w:rsidRPr="00C46A4D" w:rsidRDefault="00DF0053" w:rsidP="000B70DF">
      <w:pPr>
        <w:pStyle w:val="Data"/>
        <w:rPr>
          <w:lang w:val="en-US"/>
        </w:rPr>
      </w:pPr>
    </w:p>
    <w:p w14:paraId="09A0CF9A" w14:textId="77777777" w:rsidR="00DF0053" w:rsidRPr="00C46A4D" w:rsidRDefault="00DF0053" w:rsidP="000B70DF">
      <w:pPr>
        <w:pStyle w:val="Data"/>
        <w:rPr>
          <w:lang w:val="en-US"/>
        </w:rPr>
      </w:pPr>
      <w:r w:rsidRPr="00C46A4D">
        <w:rPr>
          <w:lang w:val="en-US"/>
        </w:rPr>
        <w:t>Association is a nonprofit corporation.</w:t>
      </w:r>
    </w:p>
    <w:p w14:paraId="7948F89F" w14:textId="77777777" w:rsidR="00DF0053" w:rsidRPr="00C46A4D" w:rsidRDefault="00DF0053" w:rsidP="000B70DF">
      <w:pPr>
        <w:pStyle w:val="Data"/>
        <w:rPr>
          <w:lang w:val="en-US"/>
        </w:rPr>
      </w:pPr>
    </w:p>
    <w:p w14:paraId="7F76D602" w14:textId="77777777" w:rsidR="00DF0053" w:rsidRPr="00C46A4D" w:rsidRDefault="00DF0053" w:rsidP="000B70DF">
      <w:pPr>
        <w:pStyle w:val="Data"/>
        <w:rPr>
          <w:lang w:val="en-US"/>
        </w:rPr>
      </w:pPr>
      <w:r w:rsidRPr="00C46A4D">
        <w:rPr>
          <w:lang w:val="en-US"/>
        </w:rPr>
        <w:t>Expenses of the corporation shall be accorded the same priority as the liquidator’s expenses.</w:t>
      </w:r>
    </w:p>
    <w:p w14:paraId="0CFCFA73" w14:textId="77777777" w:rsidR="00DF0053" w:rsidRPr="00C46A4D" w:rsidRDefault="00DF0053" w:rsidP="000B70DF">
      <w:pPr>
        <w:pStyle w:val="Data"/>
        <w:rPr>
          <w:lang w:val="en-US"/>
        </w:rPr>
      </w:pPr>
    </w:p>
    <w:p w14:paraId="6020BAA8" w14:textId="77777777" w:rsidR="00DF0053" w:rsidRPr="00C46A4D" w:rsidRDefault="00DF0053" w:rsidP="000B70DF">
      <w:pPr>
        <w:pStyle w:val="Data"/>
        <w:rPr>
          <w:lang w:val="en-US"/>
        </w:rPr>
      </w:pPr>
      <w:r w:rsidRPr="00C46A4D">
        <w:rPr>
          <w:lang w:val="en-US"/>
        </w:rPr>
        <w:t>There is no liability on the part of, and a cause of action may not arise against, the corporation, its agents or employees, or members of its board of directors, the Chief Financial Officer, or the department or office or their agents or employees, for any action taken by them in the performance of their powers and duties under this section, unless such action is found to be a violation of antitrust laws, was in bad faith, or was undertaken with malicious purpose or in a manner exhibiting wanton and willful disregard of human rights, safety, or property.</w:t>
      </w:r>
    </w:p>
    <w:p w14:paraId="62A5B7AA" w14:textId="77777777" w:rsidR="00DF0053" w:rsidRPr="00C46A4D" w:rsidRDefault="00DF0053" w:rsidP="000B70DF">
      <w:pPr>
        <w:pStyle w:val="Data"/>
        <w:rPr>
          <w:lang w:val="en-US"/>
        </w:rPr>
      </w:pPr>
    </w:p>
    <w:p w14:paraId="25757540" w14:textId="696B2842" w:rsidR="00231227" w:rsidRPr="00231227" w:rsidRDefault="00DF0053" w:rsidP="00231227">
      <w:pPr>
        <w:pStyle w:val="Data"/>
        <w:rPr>
          <w:lang w:val="en-US"/>
        </w:rPr>
      </w:pPr>
      <w:r w:rsidRPr="00C46A4D">
        <w:rPr>
          <w:lang w:val="en-US"/>
        </w:rPr>
        <w:t>All proceedings in which the insolvent insurer or self-insurance fund is a party or is obligated to defend a party in any court or before any quasi-judicial body or administrative board in this state must be stayed for 6 months, or such additional period from the date the insolvency is adjudicated.</w:t>
      </w:r>
    </w:p>
    <w:p w14:paraId="4561111F" w14:textId="37DAAD3A" w:rsidR="00231227" w:rsidRPr="00231227" w:rsidRDefault="00231227" w:rsidP="00231227">
      <w:pPr>
        <w:rPr>
          <w:rFonts w:ascii="Times New Roman" w:hAnsi="Times New Roman"/>
          <w:i/>
          <w:iCs/>
          <w:sz w:val="22"/>
        </w:rPr>
      </w:pPr>
      <w:r w:rsidRPr="00231227">
        <w:rPr>
          <w:rFonts w:ascii="Times New Roman" w:hAnsi="Times New Roman"/>
          <w:i/>
          <w:iCs/>
          <w:sz w:val="22"/>
        </w:rPr>
        <w:tab/>
      </w:r>
    </w:p>
    <w:p w14:paraId="66AE1AEE" w14:textId="5CD6864B" w:rsidR="00231227" w:rsidRPr="00231227" w:rsidRDefault="00231227" w:rsidP="00231227">
      <w:pPr>
        <w:tabs>
          <w:tab w:val="left" w:pos="360"/>
          <w:tab w:val="left" w:pos="1800"/>
          <w:tab w:val="center" w:pos="4407"/>
        </w:tabs>
        <w:suppressAutoHyphens/>
        <w:spacing w:line="240" w:lineRule="auto"/>
        <w:ind w:left="720"/>
        <w:rPr>
          <w:rFonts w:ascii="Times New Roman" w:hAnsi="Times New Roman"/>
          <w:i/>
          <w:iCs/>
          <w:spacing w:val="-3"/>
          <w:sz w:val="22"/>
        </w:rPr>
      </w:pPr>
      <w:r w:rsidRPr="00231227">
        <w:rPr>
          <w:rFonts w:ascii="Times New Roman" w:hAnsi="Times New Roman"/>
          <w:i/>
          <w:iCs/>
          <w:spacing w:val="-3"/>
          <w:sz w:val="22"/>
        </w:rPr>
        <w:t>The board may authorize an insurer to pay an assessment in a single payment or on a quarterly basis, based on cash-flow needs.</w:t>
      </w:r>
    </w:p>
    <w:p w14:paraId="5AA77330" w14:textId="053F4105" w:rsidR="00231227" w:rsidRPr="00231227" w:rsidRDefault="00231227" w:rsidP="00231227">
      <w:pPr>
        <w:ind w:left="720"/>
      </w:pPr>
    </w:p>
    <w:sectPr w:rsidR="00231227" w:rsidRPr="00231227" w:rsidSect="00F34068">
      <w:headerReference w:type="default" r:id="rId8"/>
      <w:footerReference w:type="default" r:id="rId9"/>
      <w:pgSz w:w="12240" w:h="15840"/>
      <w:pgMar w:top="720" w:right="720" w:bottom="720" w:left="72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DBA62" w14:textId="77777777" w:rsidR="008F50DE" w:rsidRDefault="008F50DE" w:rsidP="003B2EE5">
      <w:pPr>
        <w:spacing w:line="240" w:lineRule="auto"/>
      </w:pPr>
      <w:r>
        <w:separator/>
      </w:r>
    </w:p>
  </w:endnote>
  <w:endnote w:type="continuationSeparator" w:id="0">
    <w:p w14:paraId="63A8A988" w14:textId="77777777" w:rsidR="008F50DE" w:rsidRDefault="008F50DE" w:rsidP="003B2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CDA90" w14:textId="3770B609" w:rsidR="0029716F" w:rsidRPr="00F34068" w:rsidRDefault="0029716F" w:rsidP="00F34068">
    <w:pPr>
      <w:pStyle w:val="Footer"/>
      <w:tabs>
        <w:tab w:val="clear" w:pos="9360"/>
        <w:tab w:val="right" w:pos="10800"/>
      </w:tabs>
      <w:rPr>
        <w:sz w:val="20"/>
        <w:szCs w:val="20"/>
      </w:rPr>
    </w:pPr>
    <w:r>
      <w:rPr>
        <w:sz w:val="20"/>
        <w:szCs w:val="20"/>
      </w:rPr>
      <w:t>Florida Workers’ Compensation</w:t>
    </w:r>
    <w:r w:rsidRPr="00400D84">
      <w:rPr>
        <w:sz w:val="20"/>
        <w:szCs w:val="20"/>
      </w:rPr>
      <w:tab/>
      <w:t>Page #</w:t>
    </w:r>
    <w:r w:rsidRPr="00400D84">
      <w:rPr>
        <w:sz w:val="20"/>
        <w:szCs w:val="20"/>
      </w:rPr>
      <w:fldChar w:fldCharType="begin"/>
    </w:r>
    <w:r w:rsidRPr="00400D84">
      <w:rPr>
        <w:sz w:val="20"/>
        <w:szCs w:val="20"/>
      </w:rPr>
      <w:instrText xml:space="preserve"> PAGE   \* MERGEFORMAT </w:instrText>
    </w:r>
    <w:r w:rsidRPr="00400D84">
      <w:rPr>
        <w:sz w:val="20"/>
        <w:szCs w:val="20"/>
      </w:rPr>
      <w:fldChar w:fldCharType="separate"/>
    </w:r>
    <w:r w:rsidR="00EE656F">
      <w:rPr>
        <w:noProof/>
        <w:sz w:val="20"/>
        <w:szCs w:val="20"/>
      </w:rPr>
      <w:t>2</w:t>
    </w:r>
    <w:r w:rsidRPr="00400D84">
      <w:rPr>
        <w:sz w:val="20"/>
        <w:szCs w:val="20"/>
      </w:rPr>
      <w:fldChar w:fldCharType="end"/>
    </w:r>
    <w:r w:rsidRPr="00400D84">
      <w:rPr>
        <w:sz w:val="20"/>
        <w:szCs w:val="20"/>
      </w:rPr>
      <w:tab/>
      <w:t xml:space="preserve">Summary current through December 31, </w:t>
    </w:r>
    <w:r w:rsidR="00136E59">
      <w:rPr>
        <w:sz w:val="20"/>
        <w:szCs w:val="20"/>
      </w:rPr>
      <w:t>20</w:t>
    </w:r>
    <w:r w:rsidR="00285C3E">
      <w:rPr>
        <w:sz w:val="20"/>
        <w:szCs w:val="20"/>
      </w:rPr>
      <w:t>2</w:t>
    </w:r>
    <w:r w:rsidR="00503228">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48F4" w14:textId="77777777" w:rsidR="008F50DE" w:rsidRDefault="008F50DE" w:rsidP="003B2EE5">
      <w:pPr>
        <w:spacing w:line="240" w:lineRule="auto"/>
      </w:pPr>
      <w:r>
        <w:separator/>
      </w:r>
    </w:p>
  </w:footnote>
  <w:footnote w:type="continuationSeparator" w:id="0">
    <w:p w14:paraId="27C0FF95" w14:textId="77777777" w:rsidR="008F50DE" w:rsidRDefault="008F50DE" w:rsidP="003B2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DF4B" w14:textId="77777777" w:rsidR="0029716F" w:rsidRPr="00040303" w:rsidRDefault="0029716F" w:rsidP="003B2EE5">
    <w:pPr>
      <w:pStyle w:val="EndnoteText"/>
      <w:ind w:right="360"/>
      <w:jc w:val="center"/>
      <w:rPr>
        <w:rFonts w:ascii="Arial" w:hAnsi="Arial" w:cs="Arial"/>
        <w:b/>
      </w:rPr>
    </w:pPr>
    <w:r w:rsidRPr="00040303">
      <w:rPr>
        <w:rFonts w:ascii="Arial" w:hAnsi="Arial" w:cs="Arial"/>
        <w:b/>
      </w:rPr>
      <w:t>NATIONAL CONFERENCE OF INSURANCE GUARANTY FUNDS</w:t>
    </w:r>
  </w:p>
  <w:p w14:paraId="7D3E1B81" w14:textId="3CEFB808" w:rsidR="0029716F" w:rsidRPr="00040303" w:rsidRDefault="002D0DC8" w:rsidP="003B2EE5">
    <w:pPr>
      <w:pStyle w:val="EndnoteText"/>
      <w:jc w:val="center"/>
      <w:rPr>
        <w:rFonts w:ascii="Arial" w:hAnsi="Arial" w:cs="Arial"/>
        <w:b/>
      </w:rPr>
    </w:pPr>
    <w:r w:rsidRPr="00040303">
      <w:rPr>
        <w:rFonts w:ascii="Arial" w:hAnsi="Arial" w:cs="Arial"/>
        <w:b/>
      </w:rPr>
      <w:t>20</w:t>
    </w:r>
    <w:r w:rsidR="00285C3E">
      <w:rPr>
        <w:rFonts w:ascii="Arial" w:hAnsi="Arial" w:cs="Arial"/>
        <w:b/>
      </w:rPr>
      <w:t>2</w:t>
    </w:r>
    <w:r w:rsidR="00503228">
      <w:rPr>
        <w:rFonts w:ascii="Arial" w:hAnsi="Arial" w:cs="Arial"/>
        <w:b/>
      </w:rPr>
      <w:t>4</w:t>
    </w:r>
    <w:r w:rsidRPr="00040303">
      <w:rPr>
        <w:rFonts w:ascii="Arial" w:hAnsi="Arial" w:cs="Arial"/>
        <w:b/>
      </w:rPr>
      <w:t xml:space="preserve"> </w:t>
    </w:r>
    <w:r w:rsidR="0029716F" w:rsidRPr="00040303">
      <w:rPr>
        <w:rFonts w:ascii="Arial" w:hAnsi="Arial" w:cs="Arial"/>
        <w:b/>
      </w:rPr>
      <w:t>SUMMARY OF PROPERTY AND CASUALTY INSURANCE GUARANTY ASSOCIATION ACTS OF THE VARIOUS STATES &amp; U.S. TERRITORIES</w:t>
    </w:r>
  </w:p>
  <w:p w14:paraId="52B22D35" w14:textId="77777777" w:rsidR="0029716F" w:rsidRDefault="0029716F" w:rsidP="003B2EE5">
    <w:pPr>
      <w:pStyle w:val="EndnoteText"/>
      <w:jc w:val="center"/>
      <w:rPr>
        <w:rFonts w:ascii="Times New Roman" w:hAnsi="Times New Roman"/>
        <w:b/>
      </w:rPr>
    </w:pPr>
    <w:r>
      <w:rPr>
        <w:rFonts w:ascii="Times New Roman" w:hAnsi="Times New Roman"/>
        <w:b/>
      </w:rPr>
      <w:t>_________________________________________________________________________________________</w:t>
    </w:r>
  </w:p>
  <w:p w14:paraId="187D2226" w14:textId="77777777" w:rsidR="0029716F" w:rsidRDefault="00297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FEA"/>
    <w:multiLevelType w:val="multilevel"/>
    <w:tmpl w:val="046AAAB6"/>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64FA5"/>
    <w:multiLevelType w:val="multilevel"/>
    <w:tmpl w:val="0409001D"/>
    <w:numStyleLink w:val="SeparateAccounts"/>
  </w:abstractNum>
  <w:abstractNum w:abstractNumId="2" w15:restartNumberingAfterBreak="0">
    <w:nsid w:val="36046556"/>
    <w:multiLevelType w:val="multilevel"/>
    <w:tmpl w:val="0409001D"/>
    <w:styleLink w:val="SeparateAccounts0"/>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2E4AE3"/>
    <w:multiLevelType w:val="multilevel"/>
    <w:tmpl w:val="0409001D"/>
    <w:styleLink w:val="Separate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812BB"/>
    <w:multiLevelType w:val="multilevel"/>
    <w:tmpl w:val="0409001D"/>
    <w:numStyleLink w:val="Accounts"/>
  </w:abstractNum>
  <w:abstractNum w:abstractNumId="5" w15:restartNumberingAfterBreak="0">
    <w:nsid w:val="4A530DEC"/>
    <w:multiLevelType w:val="multilevel"/>
    <w:tmpl w:val="0409001D"/>
    <w:styleLink w:val="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AC16BC"/>
    <w:multiLevelType w:val="multilevel"/>
    <w:tmpl w:val="0409001D"/>
    <w:numStyleLink w:val="SeparateAccounts0"/>
  </w:abstractNum>
  <w:abstractNum w:abstractNumId="7" w15:restartNumberingAfterBreak="0">
    <w:nsid w:val="67DC3A53"/>
    <w:multiLevelType w:val="hybridMultilevel"/>
    <w:tmpl w:val="294A5898"/>
    <w:lvl w:ilvl="0" w:tplc="9F1EBC1C">
      <w:start w:val="1"/>
      <w:numFmt w:val="decimal"/>
      <w:lvlText w:val="%1."/>
      <w:lvlJc w:val="left"/>
      <w:pPr>
        <w:ind w:left="1110" w:hanging="360"/>
      </w:pPr>
      <w:rPr>
        <w:rFonts w:hint="default"/>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6BE046FA"/>
    <w:multiLevelType w:val="multilevel"/>
    <w:tmpl w:val="CBE821B4"/>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6194831">
    <w:abstractNumId w:val="5"/>
  </w:num>
  <w:num w:numId="2" w16cid:durableId="1320420704">
    <w:abstractNumId w:val="4"/>
  </w:num>
  <w:num w:numId="3" w16cid:durableId="1982883718">
    <w:abstractNumId w:val="3"/>
  </w:num>
  <w:num w:numId="4" w16cid:durableId="907958005">
    <w:abstractNumId w:val="1"/>
  </w:num>
  <w:num w:numId="5" w16cid:durableId="40054367">
    <w:abstractNumId w:val="2"/>
  </w:num>
  <w:num w:numId="6" w16cid:durableId="732197618">
    <w:abstractNumId w:val="6"/>
  </w:num>
  <w:num w:numId="7" w16cid:durableId="1100642012">
    <w:abstractNumId w:val="8"/>
  </w:num>
  <w:num w:numId="8" w16cid:durableId="1012487919">
    <w:abstractNumId w:val="0"/>
  </w:num>
  <w:num w:numId="9" w16cid:durableId="1911185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EE5"/>
    <w:rsid w:val="0001164C"/>
    <w:rsid w:val="0001539F"/>
    <w:rsid w:val="0002698D"/>
    <w:rsid w:val="0003576F"/>
    <w:rsid w:val="00040303"/>
    <w:rsid w:val="00081DE1"/>
    <w:rsid w:val="00085593"/>
    <w:rsid w:val="0009365C"/>
    <w:rsid w:val="000A73E8"/>
    <w:rsid w:val="000B70DF"/>
    <w:rsid w:val="000E1A68"/>
    <w:rsid w:val="000F4E5B"/>
    <w:rsid w:val="001108BC"/>
    <w:rsid w:val="00115A86"/>
    <w:rsid w:val="00120D1C"/>
    <w:rsid w:val="00136E59"/>
    <w:rsid w:val="0019015C"/>
    <w:rsid w:val="001D3E05"/>
    <w:rsid w:val="001D6E84"/>
    <w:rsid w:val="001D7687"/>
    <w:rsid w:val="0021283C"/>
    <w:rsid w:val="00212ABD"/>
    <w:rsid w:val="00231227"/>
    <w:rsid w:val="00237632"/>
    <w:rsid w:val="00245B2C"/>
    <w:rsid w:val="00285C3E"/>
    <w:rsid w:val="00285E74"/>
    <w:rsid w:val="0029716F"/>
    <w:rsid w:val="002C37B2"/>
    <w:rsid w:val="002D0DC8"/>
    <w:rsid w:val="002E1848"/>
    <w:rsid w:val="002F0A72"/>
    <w:rsid w:val="002F228B"/>
    <w:rsid w:val="00325BEB"/>
    <w:rsid w:val="00386773"/>
    <w:rsid w:val="0039268E"/>
    <w:rsid w:val="003B2EE5"/>
    <w:rsid w:val="003C3AB6"/>
    <w:rsid w:val="003F1E62"/>
    <w:rsid w:val="003F50D9"/>
    <w:rsid w:val="00440AC0"/>
    <w:rsid w:val="004C0DC3"/>
    <w:rsid w:val="004D0F6A"/>
    <w:rsid w:val="004D57DC"/>
    <w:rsid w:val="004E2F17"/>
    <w:rsid w:val="004F0977"/>
    <w:rsid w:val="00503228"/>
    <w:rsid w:val="005276A6"/>
    <w:rsid w:val="00561C38"/>
    <w:rsid w:val="005711CC"/>
    <w:rsid w:val="005868A1"/>
    <w:rsid w:val="005B42AC"/>
    <w:rsid w:val="005B5986"/>
    <w:rsid w:val="005B7C05"/>
    <w:rsid w:val="005D5183"/>
    <w:rsid w:val="005D5A5F"/>
    <w:rsid w:val="005E66A4"/>
    <w:rsid w:val="0068681D"/>
    <w:rsid w:val="00694E07"/>
    <w:rsid w:val="006A5B4B"/>
    <w:rsid w:val="006B0EF2"/>
    <w:rsid w:val="006D705D"/>
    <w:rsid w:val="006F7E34"/>
    <w:rsid w:val="007130D3"/>
    <w:rsid w:val="00727C6A"/>
    <w:rsid w:val="00737BCE"/>
    <w:rsid w:val="00764EA2"/>
    <w:rsid w:val="00771144"/>
    <w:rsid w:val="007A32B6"/>
    <w:rsid w:val="007C71B1"/>
    <w:rsid w:val="007C7815"/>
    <w:rsid w:val="007E230A"/>
    <w:rsid w:val="008039CD"/>
    <w:rsid w:val="0083010F"/>
    <w:rsid w:val="00842727"/>
    <w:rsid w:val="00846B46"/>
    <w:rsid w:val="00852D14"/>
    <w:rsid w:val="008567A6"/>
    <w:rsid w:val="0089265E"/>
    <w:rsid w:val="008C238E"/>
    <w:rsid w:val="008D257B"/>
    <w:rsid w:val="008E6EFE"/>
    <w:rsid w:val="008F50DE"/>
    <w:rsid w:val="009050B7"/>
    <w:rsid w:val="00910743"/>
    <w:rsid w:val="00923A1B"/>
    <w:rsid w:val="00923C93"/>
    <w:rsid w:val="00926C32"/>
    <w:rsid w:val="00930D2B"/>
    <w:rsid w:val="00937990"/>
    <w:rsid w:val="00944FCE"/>
    <w:rsid w:val="0095648D"/>
    <w:rsid w:val="0096622B"/>
    <w:rsid w:val="00973001"/>
    <w:rsid w:val="00981222"/>
    <w:rsid w:val="009A2ECF"/>
    <w:rsid w:val="009C3BCF"/>
    <w:rsid w:val="009F4458"/>
    <w:rsid w:val="00A04228"/>
    <w:rsid w:val="00A13439"/>
    <w:rsid w:val="00A552B4"/>
    <w:rsid w:val="00A7769C"/>
    <w:rsid w:val="00AE0D48"/>
    <w:rsid w:val="00AE72FA"/>
    <w:rsid w:val="00AF5AC5"/>
    <w:rsid w:val="00B22180"/>
    <w:rsid w:val="00B52C5D"/>
    <w:rsid w:val="00B62FB5"/>
    <w:rsid w:val="00B63ACF"/>
    <w:rsid w:val="00B7674E"/>
    <w:rsid w:val="00BD0CD7"/>
    <w:rsid w:val="00BF4E69"/>
    <w:rsid w:val="00C00C91"/>
    <w:rsid w:val="00C05FB4"/>
    <w:rsid w:val="00C23279"/>
    <w:rsid w:val="00C46A4D"/>
    <w:rsid w:val="00C967B5"/>
    <w:rsid w:val="00CB068E"/>
    <w:rsid w:val="00CC682F"/>
    <w:rsid w:val="00CF44C2"/>
    <w:rsid w:val="00D62EFA"/>
    <w:rsid w:val="00D84AFF"/>
    <w:rsid w:val="00DA0465"/>
    <w:rsid w:val="00DF0053"/>
    <w:rsid w:val="00DF6694"/>
    <w:rsid w:val="00E041D6"/>
    <w:rsid w:val="00E3481E"/>
    <w:rsid w:val="00E53950"/>
    <w:rsid w:val="00E813BA"/>
    <w:rsid w:val="00EB4150"/>
    <w:rsid w:val="00EC3371"/>
    <w:rsid w:val="00ED1003"/>
    <w:rsid w:val="00ED7467"/>
    <w:rsid w:val="00EE656F"/>
    <w:rsid w:val="00F14D10"/>
    <w:rsid w:val="00F23737"/>
    <w:rsid w:val="00F34068"/>
    <w:rsid w:val="00F36BCD"/>
    <w:rsid w:val="00F4057A"/>
    <w:rsid w:val="00F479B6"/>
    <w:rsid w:val="00F50095"/>
    <w:rsid w:val="00F71D6B"/>
    <w:rsid w:val="00FE5BA2"/>
    <w:rsid w:val="109B9014"/>
    <w:rsid w:val="20A85E9A"/>
    <w:rsid w:val="2781221C"/>
    <w:rsid w:val="7957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B8A93"/>
  <w15:chartTrackingRefBased/>
  <w15:docId w15:val="{EC0F003F-2AE3-4F9D-8BB4-857358C8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Old Face" w:eastAsia="Calibri" w:hAnsi="Baskerville Old Fac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A6"/>
    <w:pPr>
      <w:spacing w:line="276" w:lineRule="auto"/>
    </w:pPr>
    <w:rPr>
      <w:rFonts w:ascii="Arial" w:hAnsi="Arial"/>
      <w:sz w:val="24"/>
      <w:szCs w:val="22"/>
    </w:rPr>
  </w:style>
  <w:style w:type="paragraph" w:styleId="Heading6">
    <w:name w:val="heading 6"/>
    <w:basedOn w:val="Normal"/>
    <w:next w:val="Normal"/>
    <w:link w:val="Heading6Char"/>
    <w:qFormat/>
    <w:rsid w:val="00AF5AC5"/>
    <w:pPr>
      <w:keepNext/>
      <w:tabs>
        <w:tab w:val="left" w:pos="1238"/>
        <w:tab w:val="left" w:pos="2270"/>
        <w:tab w:val="left" w:pos="2880"/>
        <w:tab w:val="left" w:pos="4422"/>
        <w:tab w:val="left" w:pos="9843"/>
        <w:tab w:val="left" w:pos="10681"/>
        <w:tab w:val="left" w:pos="11649"/>
        <w:tab w:val="left" w:pos="11852"/>
        <w:tab w:val="left" w:pos="12733"/>
        <w:tab w:val="left" w:pos="13816"/>
        <w:tab w:val="left" w:pos="15120"/>
      </w:tabs>
      <w:suppressAutoHyphens/>
      <w:spacing w:before="46" w:line="240" w:lineRule="auto"/>
      <w:jc w:val="center"/>
      <w:outlineLvl w:val="5"/>
    </w:pPr>
    <w:rPr>
      <w:rFonts w:ascii="Times New Roman" w:eastAsia="Times New Roman" w:hAnsi="Times New Roman"/>
      <w:b/>
      <w:spacing w:val="-2"/>
      <w:sz w:val="12"/>
      <w:szCs w:val="20"/>
    </w:rPr>
  </w:style>
  <w:style w:type="paragraph" w:styleId="Heading8">
    <w:name w:val="heading 8"/>
    <w:basedOn w:val="Normal"/>
    <w:next w:val="Normal"/>
    <w:link w:val="Heading8Char"/>
    <w:uiPriority w:val="9"/>
    <w:semiHidden/>
    <w:unhideWhenUsed/>
    <w:qFormat/>
    <w:rsid w:val="000B70DF"/>
    <w:pPr>
      <w:spacing w:before="240" w:after="60"/>
      <w:outlineLvl w:val="7"/>
    </w:pPr>
    <w:rPr>
      <w:rFonts w:ascii="Calibri" w:eastAsia="Times New Roman"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EE5"/>
    <w:pPr>
      <w:tabs>
        <w:tab w:val="center" w:pos="4680"/>
        <w:tab w:val="right" w:pos="9360"/>
      </w:tabs>
      <w:spacing w:line="240" w:lineRule="auto"/>
    </w:pPr>
  </w:style>
  <w:style w:type="character" w:customStyle="1" w:styleId="HeaderChar">
    <w:name w:val="Header Char"/>
    <w:basedOn w:val="DefaultParagraphFont"/>
    <w:link w:val="Header"/>
    <w:uiPriority w:val="99"/>
    <w:rsid w:val="003B2EE5"/>
  </w:style>
  <w:style w:type="paragraph" w:styleId="Footer">
    <w:name w:val="footer"/>
    <w:basedOn w:val="Normal"/>
    <w:link w:val="FooterChar"/>
    <w:uiPriority w:val="99"/>
    <w:unhideWhenUsed/>
    <w:rsid w:val="003B2EE5"/>
    <w:pPr>
      <w:tabs>
        <w:tab w:val="center" w:pos="4680"/>
        <w:tab w:val="right" w:pos="9360"/>
      </w:tabs>
      <w:spacing w:line="240" w:lineRule="auto"/>
    </w:pPr>
  </w:style>
  <w:style w:type="character" w:customStyle="1" w:styleId="FooterChar">
    <w:name w:val="Footer Char"/>
    <w:basedOn w:val="DefaultParagraphFont"/>
    <w:link w:val="Footer"/>
    <w:uiPriority w:val="99"/>
    <w:rsid w:val="003B2EE5"/>
  </w:style>
  <w:style w:type="paragraph" w:styleId="EndnoteText">
    <w:name w:val="endnote text"/>
    <w:basedOn w:val="Normal"/>
    <w:link w:val="EndnoteTextChar"/>
    <w:semiHidden/>
    <w:rsid w:val="003B2EE5"/>
    <w:pPr>
      <w:widowControl w:val="0"/>
      <w:spacing w:line="240" w:lineRule="auto"/>
    </w:pPr>
    <w:rPr>
      <w:rFonts w:ascii="Courier New" w:eastAsia="Times New Roman" w:hAnsi="Courier New"/>
      <w:snapToGrid w:val="0"/>
      <w:szCs w:val="20"/>
    </w:rPr>
  </w:style>
  <w:style w:type="character" w:customStyle="1" w:styleId="EndnoteTextChar">
    <w:name w:val="Endnote Text Char"/>
    <w:link w:val="EndnoteText"/>
    <w:semiHidden/>
    <w:rsid w:val="003B2EE5"/>
    <w:rPr>
      <w:rFonts w:ascii="Courier New" w:eastAsia="Times New Roman" w:hAnsi="Courier New" w:cs="Times New Roman"/>
      <w:snapToGrid w:val="0"/>
      <w:szCs w:val="20"/>
    </w:rPr>
  </w:style>
  <w:style w:type="paragraph" w:styleId="FootnoteText">
    <w:name w:val="footnote text"/>
    <w:basedOn w:val="Normal"/>
    <w:link w:val="FootnoteTextChar"/>
    <w:semiHidden/>
    <w:rsid w:val="005B42AC"/>
    <w:pPr>
      <w:widowControl w:val="0"/>
      <w:spacing w:line="240" w:lineRule="auto"/>
    </w:pPr>
    <w:rPr>
      <w:rFonts w:ascii="Courier New" w:eastAsia="Times New Roman" w:hAnsi="Courier New"/>
      <w:snapToGrid w:val="0"/>
      <w:szCs w:val="20"/>
    </w:rPr>
  </w:style>
  <w:style w:type="character" w:customStyle="1" w:styleId="FootnoteTextChar">
    <w:name w:val="Footnote Text Char"/>
    <w:link w:val="FootnoteText"/>
    <w:semiHidden/>
    <w:rsid w:val="005B42AC"/>
    <w:rPr>
      <w:rFonts w:ascii="Courier New" w:eastAsia="Times New Roman" w:hAnsi="Courier New"/>
      <w:snapToGrid w:val="0"/>
      <w:sz w:val="24"/>
    </w:rPr>
  </w:style>
  <w:style w:type="paragraph" w:customStyle="1" w:styleId="Fund">
    <w:name w:val="Fund"/>
    <w:basedOn w:val="Normal"/>
    <w:next w:val="Normal"/>
    <w:qFormat/>
    <w:rsid w:val="0019015C"/>
    <w:pPr>
      <w:jc w:val="center"/>
    </w:pPr>
    <w:rPr>
      <w:rFonts w:ascii="Times New Roman" w:hAnsi="Times New Roman"/>
      <w:b/>
      <w:color w:val="0000FF"/>
      <w:spacing w:val="-2"/>
      <w:sz w:val="32"/>
    </w:rPr>
  </w:style>
  <w:style w:type="paragraph" w:customStyle="1" w:styleId="SectionTitle">
    <w:name w:val="Section_Title"/>
    <w:basedOn w:val="Normal"/>
    <w:next w:val="Normal"/>
    <w:rsid w:val="005276A6"/>
    <w:pPr>
      <w:spacing w:line="240" w:lineRule="auto"/>
    </w:pPr>
    <w:rPr>
      <w:color w:val="0070C0"/>
      <w:spacing w:val="-2"/>
    </w:rPr>
  </w:style>
  <w:style w:type="paragraph" w:customStyle="1" w:styleId="Data">
    <w:name w:val="Data"/>
    <w:basedOn w:val="Normal"/>
    <w:next w:val="Normal"/>
    <w:link w:val="DataChar"/>
    <w:qFormat/>
    <w:rsid w:val="0019015C"/>
    <w:pPr>
      <w:tabs>
        <w:tab w:val="left" w:pos="-720"/>
      </w:tabs>
      <w:suppressAutoHyphens/>
      <w:spacing w:before="46" w:after="54"/>
      <w:ind w:left="720"/>
    </w:pPr>
    <w:rPr>
      <w:rFonts w:ascii="Times New Roman" w:hAnsi="Times New Roman"/>
      <w:i/>
      <w:spacing w:val="-1"/>
      <w:sz w:val="22"/>
      <w:lang w:val="fr-FR"/>
    </w:rPr>
  </w:style>
  <w:style w:type="numbering" w:customStyle="1" w:styleId="Accounts">
    <w:name w:val="Accounts"/>
    <w:basedOn w:val="NoList"/>
    <w:uiPriority w:val="99"/>
    <w:rsid w:val="00B63ACF"/>
    <w:pPr>
      <w:numPr>
        <w:numId w:val="1"/>
      </w:numPr>
    </w:pPr>
  </w:style>
  <w:style w:type="numbering" w:customStyle="1" w:styleId="SeparateAccounts">
    <w:name w:val="Separate Accounts"/>
    <w:basedOn w:val="NoList"/>
    <w:uiPriority w:val="99"/>
    <w:rsid w:val="00B63ACF"/>
    <w:pPr>
      <w:numPr>
        <w:numId w:val="3"/>
      </w:numPr>
    </w:pPr>
  </w:style>
  <w:style w:type="character" w:styleId="SubtleReference">
    <w:name w:val="Subtle Reference"/>
    <w:uiPriority w:val="31"/>
    <w:rsid w:val="00B63ACF"/>
    <w:rPr>
      <w:smallCaps/>
      <w:color w:val="C0504D"/>
      <w:u w:val="single"/>
    </w:rPr>
  </w:style>
  <w:style w:type="numbering" w:customStyle="1" w:styleId="SeparateAccounts0">
    <w:name w:val="Separate_Accounts"/>
    <w:basedOn w:val="NoList"/>
    <w:uiPriority w:val="99"/>
    <w:rsid w:val="00B63ACF"/>
    <w:pPr>
      <w:numPr>
        <w:numId w:val="5"/>
      </w:numPr>
    </w:pPr>
  </w:style>
  <w:style w:type="paragraph" w:customStyle="1" w:styleId="SectionHeading">
    <w:name w:val="Section_Heading"/>
    <w:basedOn w:val="Normal"/>
    <w:next w:val="Normal"/>
    <w:qFormat/>
    <w:rsid w:val="0019015C"/>
    <w:rPr>
      <w:rFonts w:ascii="Times New Roman" w:hAnsi="Times New Roman"/>
      <w:b/>
      <w:color w:val="993300"/>
    </w:rPr>
  </w:style>
  <w:style w:type="character" w:customStyle="1" w:styleId="addedtext">
    <w:name w:val="addedtext"/>
    <w:basedOn w:val="DefaultParagraphFont"/>
    <w:rsid w:val="004C0DC3"/>
  </w:style>
  <w:style w:type="paragraph" w:styleId="TOC1">
    <w:name w:val="toc 1"/>
    <w:basedOn w:val="Normal"/>
    <w:next w:val="Normal"/>
    <w:autoRedefine/>
    <w:uiPriority w:val="39"/>
    <w:unhideWhenUsed/>
    <w:rsid w:val="00AE0D48"/>
  </w:style>
  <w:style w:type="character" w:styleId="Hyperlink">
    <w:name w:val="Hyperlink"/>
    <w:uiPriority w:val="99"/>
    <w:unhideWhenUsed/>
    <w:rsid w:val="00AE0D48"/>
    <w:rPr>
      <w:color w:val="0000FF"/>
      <w:u w:val="single"/>
    </w:rPr>
  </w:style>
  <w:style w:type="paragraph" w:customStyle="1" w:styleId="DataUnderlined">
    <w:name w:val="Data_Underlined"/>
    <w:basedOn w:val="Data"/>
    <w:link w:val="DataUnderlinedChar"/>
    <w:qFormat/>
    <w:rsid w:val="0019015C"/>
    <w:rPr>
      <w:rFonts w:ascii="Arial" w:hAnsi="Arial"/>
      <w:u w:val="single"/>
    </w:rPr>
  </w:style>
  <w:style w:type="paragraph" w:styleId="BodyText">
    <w:name w:val="Body Text"/>
    <w:basedOn w:val="Normal"/>
    <w:link w:val="BodyTextChar"/>
    <w:rsid w:val="00AF5AC5"/>
    <w:pPr>
      <w:tabs>
        <w:tab w:val="left" w:pos="-720"/>
      </w:tabs>
      <w:suppressAutoHyphens/>
      <w:spacing w:line="240" w:lineRule="auto"/>
    </w:pPr>
    <w:rPr>
      <w:rFonts w:ascii="Times New Roman" w:eastAsia="Times New Roman" w:hAnsi="Times New Roman"/>
      <w:b/>
      <w:spacing w:val="-1"/>
      <w:sz w:val="12"/>
      <w:szCs w:val="20"/>
    </w:rPr>
  </w:style>
  <w:style w:type="character" w:customStyle="1" w:styleId="DataChar">
    <w:name w:val="Data Char"/>
    <w:link w:val="Data"/>
    <w:rsid w:val="0019015C"/>
    <w:rPr>
      <w:rFonts w:ascii="Times New Roman" w:hAnsi="Times New Roman"/>
      <w:i/>
      <w:spacing w:val="-1"/>
      <w:sz w:val="22"/>
      <w:szCs w:val="22"/>
      <w:lang w:val="fr-FR"/>
    </w:rPr>
  </w:style>
  <w:style w:type="character" w:customStyle="1" w:styleId="DataUnderlinedChar">
    <w:name w:val="Data_Underlined Char"/>
    <w:link w:val="DataUnderlined"/>
    <w:rsid w:val="0039268E"/>
    <w:rPr>
      <w:rFonts w:ascii="Times New Roman" w:hAnsi="Times New Roman"/>
      <w:i/>
      <w:spacing w:val="-1"/>
      <w:sz w:val="22"/>
      <w:szCs w:val="22"/>
      <w:lang w:val="fr-FR"/>
    </w:rPr>
  </w:style>
  <w:style w:type="character" w:customStyle="1" w:styleId="BodyTextChar">
    <w:name w:val="Body Text Char"/>
    <w:link w:val="BodyText"/>
    <w:rsid w:val="00AF5AC5"/>
    <w:rPr>
      <w:rFonts w:ascii="Times New Roman" w:eastAsia="Times New Roman" w:hAnsi="Times New Roman"/>
      <w:b/>
      <w:spacing w:val="-1"/>
      <w:sz w:val="12"/>
    </w:rPr>
  </w:style>
  <w:style w:type="character" w:styleId="CommentReference">
    <w:name w:val="annotation reference"/>
    <w:uiPriority w:val="99"/>
    <w:semiHidden/>
    <w:unhideWhenUsed/>
    <w:rsid w:val="00AF5AC5"/>
    <w:rPr>
      <w:sz w:val="16"/>
      <w:szCs w:val="16"/>
    </w:rPr>
  </w:style>
  <w:style w:type="paragraph" w:styleId="CommentText">
    <w:name w:val="annotation text"/>
    <w:basedOn w:val="Normal"/>
    <w:link w:val="CommentTextChar"/>
    <w:uiPriority w:val="99"/>
    <w:unhideWhenUsed/>
    <w:rsid w:val="00AF5AC5"/>
    <w:rPr>
      <w:sz w:val="20"/>
      <w:szCs w:val="20"/>
    </w:rPr>
  </w:style>
  <w:style w:type="character" w:customStyle="1" w:styleId="CommentTextChar">
    <w:name w:val="Comment Text Char"/>
    <w:link w:val="CommentText"/>
    <w:uiPriority w:val="99"/>
    <w:rsid w:val="00AF5AC5"/>
    <w:rPr>
      <w:rFonts w:ascii="Arial" w:hAnsi="Arial"/>
    </w:rPr>
  </w:style>
  <w:style w:type="paragraph" w:styleId="CommentSubject">
    <w:name w:val="annotation subject"/>
    <w:basedOn w:val="CommentText"/>
    <w:next w:val="CommentText"/>
    <w:link w:val="CommentSubjectChar"/>
    <w:uiPriority w:val="99"/>
    <w:semiHidden/>
    <w:unhideWhenUsed/>
    <w:rsid w:val="00AF5AC5"/>
    <w:rPr>
      <w:b/>
      <w:bCs/>
    </w:rPr>
  </w:style>
  <w:style w:type="character" w:customStyle="1" w:styleId="CommentSubjectChar">
    <w:name w:val="Comment Subject Char"/>
    <w:link w:val="CommentSubject"/>
    <w:uiPriority w:val="99"/>
    <w:semiHidden/>
    <w:rsid w:val="00AF5AC5"/>
    <w:rPr>
      <w:rFonts w:ascii="Arial" w:hAnsi="Arial"/>
      <w:b/>
      <w:bCs/>
    </w:rPr>
  </w:style>
  <w:style w:type="paragraph" w:styleId="BalloonText">
    <w:name w:val="Balloon Text"/>
    <w:basedOn w:val="Normal"/>
    <w:link w:val="BalloonTextChar"/>
    <w:uiPriority w:val="99"/>
    <w:semiHidden/>
    <w:unhideWhenUsed/>
    <w:rsid w:val="00AF5AC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5AC5"/>
    <w:rPr>
      <w:rFonts w:ascii="Tahoma" w:hAnsi="Tahoma" w:cs="Tahoma"/>
      <w:sz w:val="16"/>
      <w:szCs w:val="16"/>
    </w:rPr>
  </w:style>
  <w:style w:type="character" w:customStyle="1" w:styleId="Heading6Char">
    <w:name w:val="Heading 6 Char"/>
    <w:link w:val="Heading6"/>
    <w:rsid w:val="00AF5AC5"/>
    <w:rPr>
      <w:rFonts w:ascii="Times New Roman" w:eastAsia="Times New Roman" w:hAnsi="Times New Roman"/>
      <w:b/>
      <w:spacing w:val="-2"/>
      <w:sz w:val="12"/>
    </w:rPr>
  </w:style>
  <w:style w:type="character" w:customStyle="1" w:styleId="Heading8Char">
    <w:name w:val="Heading 8 Char"/>
    <w:link w:val="Heading8"/>
    <w:uiPriority w:val="9"/>
    <w:semiHidden/>
    <w:rsid w:val="000B70DF"/>
    <w:rPr>
      <w:rFonts w:ascii="Calibri" w:eastAsia="Times New Roman" w:hAnsi="Calibri" w:cs="Times New Roman"/>
      <w:i/>
      <w:iCs/>
      <w:sz w:val="24"/>
      <w:szCs w:val="24"/>
    </w:rPr>
  </w:style>
  <w:style w:type="paragraph" w:styleId="Revision">
    <w:name w:val="Revision"/>
    <w:hidden/>
    <w:uiPriority w:val="99"/>
    <w:semiHidden/>
    <w:rsid w:val="0095648D"/>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C8E9-5358-4584-9CEE-FBDACDC9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811</Words>
  <Characters>4623</Characters>
  <Application>Microsoft Office Word</Application>
  <DocSecurity>0</DocSecurity>
  <Lines>38</Lines>
  <Paragraphs>10</Paragraphs>
  <ScaleCrop>false</ScaleCrop>
  <Company>Hewlett-Packard</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cp:lastModifiedBy>Carrie Perras</cp:lastModifiedBy>
  <cp:revision>12</cp:revision>
  <cp:lastPrinted>2020-12-28T18:49:00Z</cp:lastPrinted>
  <dcterms:created xsi:type="dcterms:W3CDTF">2020-12-28T19:09:00Z</dcterms:created>
  <dcterms:modified xsi:type="dcterms:W3CDTF">2024-12-11T14:28:00Z</dcterms:modified>
</cp:coreProperties>
</file>